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472E1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72E13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72E1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</w:t>
      </w:r>
      <w:proofErr w:type="gramStart"/>
      <w:r w:rsidRPr="00472E13">
        <w:rPr>
          <w:rFonts w:ascii="Tahoma" w:eastAsia="Times New Roman" w:hAnsi="Tahoma" w:cs="Tahoma"/>
          <w:sz w:val="20"/>
          <w:szCs w:val="20"/>
          <w:lang w:eastAsia="ru-RU"/>
        </w:rPr>
        <w:t xml:space="preserve">   «</w:t>
      </w:r>
      <w:proofErr w:type="gramEnd"/>
      <w:r w:rsidRPr="00472E13">
        <w:rPr>
          <w:rFonts w:ascii="Tahoma" w:eastAsia="Times New Roman" w:hAnsi="Tahoma" w:cs="Tahoma"/>
          <w:sz w:val="20"/>
          <w:szCs w:val="20"/>
          <w:lang w:eastAsia="ru-RU"/>
        </w:rPr>
        <w:t>____»____________20__г.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C36C93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36C93">
        <w:rPr>
          <w:rFonts w:ascii="Tahoma" w:eastAsia="Times New Roman" w:hAnsi="Tahoma" w:cs="Tahoma"/>
          <w:sz w:val="20"/>
          <w:szCs w:val="20"/>
        </w:rPr>
        <w:t>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C36C93">
        <w:rPr>
          <w:rFonts w:ascii="Tahoma" w:eastAsia="Times New Roman" w:hAnsi="Tahoma" w:cs="Tahoma"/>
          <w:sz w:val="20"/>
          <w:szCs w:val="20"/>
        </w:rPr>
        <w:t>Болодурина Сергея Викторовича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действующего на основании </w:t>
      </w:r>
      <w:r w:rsidRPr="00C36C93">
        <w:rPr>
          <w:rFonts w:ascii="Tahoma" w:eastAsia="Times New Roman" w:hAnsi="Tahoma" w:cs="Tahoma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36C9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A82178" w:rsidRPr="00A82178">
        <w:rPr>
          <w:rFonts w:ascii="Tahoma" w:eastAsia="Times New Roman" w:hAnsi="Tahoma" w:cs="Tahoma"/>
          <w:b/>
          <w:sz w:val="20"/>
          <w:szCs w:val="20"/>
          <w:lang w:eastAsia="ru-RU"/>
        </w:rPr>
        <w:t>бытовую технику</w:t>
      </w:r>
      <w:r w:rsidRPr="00C36C93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840EA8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>Наименование, ассортимент, количество, технические и иные требования по качеству, цена Продукции</w:t>
      </w:r>
      <w:r w:rsidR="007E072B">
        <w:rPr>
          <w:rFonts w:ascii="Tahoma" w:eastAsia="Times New Roman" w:hAnsi="Tahoma" w:cs="Tahoma"/>
          <w:sz w:val="20"/>
          <w:szCs w:val="20"/>
        </w:rPr>
        <w:t xml:space="preserve"> и сроки поставки</w:t>
      </w:r>
      <w:r w:rsidRPr="00C36C93">
        <w:rPr>
          <w:rFonts w:ascii="Tahoma" w:eastAsia="Times New Roman" w:hAnsi="Tahoma" w:cs="Tahoma"/>
          <w:sz w:val="20"/>
          <w:szCs w:val="20"/>
        </w:rPr>
        <w:t xml:space="preserve"> определены Сторонами в Спецификации (Приложение № 1 к Договору). В Спецификации также обязательно указывается страна происхождения Продукции. 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7E072B" w:rsidRPr="00E545A9" w:rsidRDefault="007E072B" w:rsidP="007E07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E545A9">
        <w:rPr>
          <w:rStyle w:val="FontStyle24"/>
          <w:rFonts w:ascii="Tahoma" w:hAnsi="Tahoma" w:cs="Tahoma"/>
        </w:rPr>
        <w:t>направления уведомления в адрес Поставщика.</w:t>
      </w:r>
    </w:p>
    <w:p w:rsidR="007E072B" w:rsidRPr="00C36C93" w:rsidRDefault="007E072B" w:rsidP="007E072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A50CD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C36C93">
        <w:rPr>
          <w:rFonts w:ascii="Tahoma" w:hAnsi="Tahoma" w:cs="Tahoma"/>
          <w:sz w:val="20"/>
        </w:rPr>
        <w:t xml:space="preserve">Поставщик обязуется поставить </w:t>
      </w:r>
      <w:r w:rsidRPr="00C36C93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</w:t>
      </w:r>
      <w:r w:rsidR="007E072B">
        <w:rPr>
          <w:rFonts w:ascii="Tahoma" w:hAnsi="Tahoma" w:cs="Tahoma"/>
          <w:sz w:val="20"/>
          <w:lang w:eastAsia="ar-SA"/>
        </w:rPr>
        <w:t xml:space="preserve"> Грузополучателя, указанного в Спецификации </w:t>
      </w:r>
      <w:r w:rsidRPr="00C36C93">
        <w:rPr>
          <w:rFonts w:ascii="Tahoma" w:hAnsi="Tahoma" w:cs="Tahoma"/>
          <w:sz w:val="20"/>
          <w:lang w:eastAsia="ar-SA"/>
        </w:rPr>
        <w:t xml:space="preserve">(Приложение № </w:t>
      </w:r>
      <w:r w:rsidR="007E072B">
        <w:rPr>
          <w:rFonts w:ascii="Tahoma" w:hAnsi="Tahoma" w:cs="Tahoma"/>
          <w:sz w:val="20"/>
          <w:lang w:eastAsia="ar-SA"/>
        </w:rPr>
        <w:t>1</w:t>
      </w:r>
      <w:r w:rsidRPr="00C36C93">
        <w:rPr>
          <w:rFonts w:ascii="Tahoma" w:hAnsi="Tahoma" w:cs="Tahoma"/>
          <w:sz w:val="20"/>
          <w:lang w:eastAsia="ar-SA"/>
        </w:rPr>
        <w:t xml:space="preserve"> к Договору).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36C93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C36C9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36C93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C36C93">
        <w:rPr>
          <w:rFonts w:ascii="Tahoma" w:hAnsi="Tahoma" w:cs="Tahoma"/>
          <w:sz w:val="20"/>
          <w:szCs w:val="20"/>
        </w:rPr>
        <w:t xml:space="preserve">отдельных Партий Продукции) </w:t>
      </w:r>
      <w:r w:rsidR="007E072B">
        <w:rPr>
          <w:rFonts w:ascii="Tahoma" w:hAnsi="Tahoma" w:cs="Tahoma"/>
          <w:sz w:val="20"/>
          <w:szCs w:val="20"/>
        </w:rPr>
        <w:t xml:space="preserve">с </w:t>
      </w:r>
      <w:r w:rsidR="00C023C8">
        <w:rPr>
          <w:rFonts w:ascii="Tahoma" w:hAnsi="Tahoma" w:cs="Tahoma"/>
          <w:sz w:val="20"/>
          <w:szCs w:val="20"/>
        </w:rPr>
        <w:t xml:space="preserve">момента подписания договора </w:t>
      </w:r>
      <w:r w:rsidR="007E072B">
        <w:rPr>
          <w:rFonts w:ascii="Tahoma" w:hAnsi="Tahoma" w:cs="Tahoma"/>
          <w:sz w:val="20"/>
          <w:szCs w:val="20"/>
        </w:rPr>
        <w:t xml:space="preserve">по 31.12.2024 г. и </w:t>
      </w:r>
      <w:r w:rsidRPr="00C36C93">
        <w:rPr>
          <w:rFonts w:ascii="Tahoma" w:hAnsi="Tahoma" w:cs="Tahoma"/>
          <w:sz w:val="20"/>
          <w:szCs w:val="20"/>
        </w:rPr>
        <w:t xml:space="preserve">установлен в </w:t>
      </w:r>
      <w:r w:rsidR="007E072B">
        <w:rPr>
          <w:rFonts w:ascii="Tahoma" w:hAnsi="Tahoma" w:cs="Tahoma"/>
          <w:sz w:val="20"/>
          <w:szCs w:val="20"/>
        </w:rPr>
        <w:t>Спецификации</w:t>
      </w:r>
      <w:r w:rsidRPr="00C36C93">
        <w:rPr>
          <w:rFonts w:ascii="Tahoma" w:hAnsi="Tahoma" w:cs="Tahoma"/>
          <w:sz w:val="20"/>
          <w:szCs w:val="20"/>
        </w:rPr>
        <w:t xml:space="preserve"> (Приложение № </w:t>
      </w:r>
      <w:r w:rsidR="009F71F7">
        <w:rPr>
          <w:rFonts w:ascii="Tahoma" w:hAnsi="Tahoma" w:cs="Tahoma"/>
          <w:sz w:val="20"/>
          <w:szCs w:val="20"/>
        </w:rPr>
        <w:t>1</w:t>
      </w:r>
      <w:r w:rsidRPr="00C36C93">
        <w:rPr>
          <w:rFonts w:ascii="Tahoma" w:hAnsi="Tahoma" w:cs="Tahoma"/>
          <w:sz w:val="20"/>
          <w:szCs w:val="20"/>
        </w:rPr>
        <w:t xml:space="preserve"> к Договору)</w:t>
      </w:r>
      <w:r w:rsidRPr="00C36C93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36C9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C36C93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840EA8" w:rsidRPr="00C36C93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36C9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36C93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9F71F7" w:rsidRDefault="00840EA8" w:rsidP="009F71F7">
      <w:pPr>
        <w:pStyle w:val="a3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F71F7">
        <w:rPr>
          <w:rFonts w:ascii="Tahoma" w:hAnsi="Tahoma" w:cs="Tahoma"/>
          <w:b/>
          <w:sz w:val="20"/>
        </w:rPr>
        <w:t>Порядок отгрузки Продукции</w:t>
      </w:r>
      <w:r w:rsidRPr="009F71F7">
        <w:rPr>
          <w:rFonts w:ascii="Tahoma" w:hAnsi="Tahoma" w:cs="Tahoma"/>
          <w:sz w:val="20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9F71F7" w:rsidRDefault="00840EA8" w:rsidP="009F71F7">
      <w:pPr>
        <w:pStyle w:val="a3"/>
        <w:numPr>
          <w:ilvl w:val="2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 w:rsidRPr="009F71F7">
        <w:rPr>
          <w:rFonts w:ascii="Tahoma" w:hAnsi="Tahoma" w:cs="Tahoma"/>
          <w:b/>
          <w:sz w:val="20"/>
        </w:rPr>
        <w:t xml:space="preserve">Требования к упаковке. </w:t>
      </w:r>
      <w:r w:rsidRPr="009F71F7">
        <w:rPr>
          <w:rFonts w:ascii="Tahoma" w:hAnsi="Tahoma" w:cs="Tahoma"/>
          <w:sz w:val="20"/>
        </w:rPr>
        <w:t>Упаковка Продукции должна соответствовать: Общим условиям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840EA8" w:rsidRPr="00C36C93" w:rsidRDefault="00840EA8" w:rsidP="009F71F7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C36C93" w:rsidRDefault="00840EA8" w:rsidP="009F71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C36C93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C36C93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C36C93" w:rsidRDefault="00840EA8" w:rsidP="009F71F7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36C93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C36C93" w:rsidRDefault="00840EA8" w:rsidP="009F71F7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36C9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C36C93" w:rsidRDefault="00840EA8" w:rsidP="009F71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12)/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Акта приема-передачи Продукции/УПД</w:t>
      </w:r>
      <w:r w:rsidR="00A9347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9F71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>Право собственности</w:t>
      </w:r>
      <w:r w:rsidRPr="00C36C9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36C93">
        <w:rPr>
          <w:rFonts w:ascii="Tahoma" w:hAnsi="Tahoma" w:cs="Tahoma"/>
          <w:sz w:val="20"/>
          <w:szCs w:val="20"/>
        </w:rPr>
        <w:t>п.п</w:t>
      </w:r>
      <w:proofErr w:type="spellEnd"/>
      <w:r w:rsidRPr="00C36C9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C36C93">
        <w:rPr>
          <w:rFonts w:ascii="Tahoma" w:hAnsi="Tahoma" w:cs="Tahoma"/>
          <w:sz w:val="20"/>
          <w:szCs w:val="20"/>
        </w:rPr>
        <w:t>12)/</w:t>
      </w:r>
      <w:proofErr w:type="gramEnd"/>
      <w:r w:rsidRPr="00C36C93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9F71F7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9F71F7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9F71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54411B" w:rsidRPr="00871A77" w:rsidRDefault="00911BF8" w:rsidP="0054411B">
      <w:pPr>
        <w:pStyle w:val="a3"/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911BF8">
        <w:rPr>
          <w:rFonts w:ascii="Tahoma" w:hAnsi="Tahoma" w:cs="Tahoma"/>
          <w:sz w:val="20"/>
        </w:rPr>
        <w:lastRenderedPageBreak/>
        <w:t>3.2.</w:t>
      </w:r>
      <w:r>
        <w:rPr>
          <w:rFonts w:ascii="Tahoma" w:hAnsi="Tahoma" w:cs="Tahoma"/>
          <w:b/>
          <w:sz w:val="20"/>
        </w:rPr>
        <w:t xml:space="preserve"> </w:t>
      </w:r>
      <w:r w:rsidR="00B16549">
        <w:rPr>
          <w:rFonts w:ascii="Tahoma" w:hAnsi="Tahoma" w:cs="Tahoma"/>
          <w:b/>
          <w:sz w:val="20"/>
        </w:rPr>
        <w:t xml:space="preserve">    </w:t>
      </w:r>
      <w:r w:rsidR="0054411B" w:rsidRPr="00871A77">
        <w:rPr>
          <w:rFonts w:ascii="Tahoma" w:hAnsi="Tahoma" w:cs="Tahoma"/>
          <w:sz w:val="20"/>
        </w:rPr>
        <w:t>Оплата Продукции/ 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="0054411B" w:rsidRPr="00871A77">
        <w:rPr>
          <w:sz w:val="20"/>
        </w:rPr>
        <w:t xml:space="preserve"> </w:t>
      </w:r>
      <w:r w:rsidR="0054411B" w:rsidRPr="00871A77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840EA8" w:rsidRPr="00911BF8" w:rsidRDefault="00840EA8" w:rsidP="00B16549">
      <w:pPr>
        <w:pStyle w:val="a3"/>
        <w:numPr>
          <w:ilvl w:val="1"/>
          <w:numId w:val="12"/>
        </w:numPr>
        <w:tabs>
          <w:tab w:val="left" w:pos="0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1BF8">
        <w:rPr>
          <w:rFonts w:ascii="Tahoma" w:hAnsi="Tahoma" w:cs="Tahoma"/>
          <w:sz w:val="20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911BF8">
        <w:rPr>
          <w:rFonts w:ascii="Tahoma" w:hAnsi="Tahoma" w:cs="Tahoma"/>
          <w:sz w:val="20"/>
        </w:rPr>
        <w:t>так же</w:t>
      </w:r>
      <w:proofErr w:type="gramEnd"/>
      <w:r w:rsidRPr="00911BF8">
        <w:rPr>
          <w:rFonts w:ascii="Tahoma" w:hAnsi="Tahoma" w:cs="Tahoma"/>
          <w:sz w:val="20"/>
        </w:rPr>
        <w:t xml:space="preserve"> могут иметь иную форму расчетов, не противоречащую законодательству РФ,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911BF8">
      <w:pPr>
        <w:numPr>
          <w:ilvl w:val="0"/>
          <w:numId w:val="12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B77996" w:rsidRDefault="00840EA8" w:rsidP="00B77996">
      <w:pPr>
        <w:pStyle w:val="a3"/>
        <w:numPr>
          <w:ilvl w:val="1"/>
          <w:numId w:val="13"/>
        </w:numPr>
        <w:tabs>
          <w:tab w:val="left" w:pos="139"/>
          <w:tab w:val="left" w:pos="426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bookmarkStart w:id="2" w:name="_GoBack"/>
      <w:bookmarkEnd w:id="2"/>
      <w:r w:rsidRPr="00B77996">
        <w:rPr>
          <w:rFonts w:ascii="Tahoma" w:hAnsi="Tahoma" w:cs="Tahoma"/>
          <w:sz w:val="20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36C9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C36C93" w:rsidRDefault="00840EA8" w:rsidP="00B77996">
      <w:pPr>
        <w:numPr>
          <w:ilvl w:val="0"/>
          <w:numId w:val="1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C36C93" w:rsidRDefault="00840EA8" w:rsidP="00B77996">
      <w:pPr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 за каждый день просрочки, начиная с первого дня просрочки до даты фактического исполнения обязательства</w:t>
      </w:r>
    </w:p>
    <w:p w:rsidR="00840EA8" w:rsidRPr="00C36C93" w:rsidRDefault="00840EA8" w:rsidP="00B77996">
      <w:pPr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840EA8" w:rsidRPr="00C36C93" w:rsidRDefault="00840EA8" w:rsidP="00B77996">
      <w:pPr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36C9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C36C93" w:rsidRDefault="00840EA8" w:rsidP="00B77996">
      <w:pPr>
        <w:widowControl w:val="0"/>
        <w:numPr>
          <w:ilvl w:val="1"/>
          <w:numId w:val="13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просрочки. Указанное положение не применяется к просрочке выплаты авансовых платежей. 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B77996">
      <w:pPr>
        <w:numPr>
          <w:ilvl w:val="0"/>
          <w:numId w:val="1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C36C93" w:rsidRDefault="00840EA8" w:rsidP="00B77996">
      <w:pPr>
        <w:numPr>
          <w:ilvl w:val="1"/>
          <w:numId w:val="13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C36C93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C36C93" w:rsidRDefault="00840EA8" w:rsidP="00B77996">
      <w:pPr>
        <w:numPr>
          <w:ilvl w:val="0"/>
          <w:numId w:val="1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C36C93" w:rsidRDefault="00840EA8" w:rsidP="00B77996">
      <w:pPr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C36C93" w:rsidRDefault="00840EA8" w:rsidP="00B77996">
      <w:pPr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B77996">
      <w:pPr>
        <w:numPr>
          <w:ilvl w:val="0"/>
          <w:numId w:val="1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36C93">
        <w:rPr>
          <w:rFonts w:ascii="Tahoma" w:hAnsi="Tahoma" w:cs="Tahoma"/>
          <w:sz w:val="20"/>
          <w:szCs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 xml:space="preserve">8.1.1. Покупателю: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Pr="00C36C93">
        <w:rPr>
          <w:rFonts w:ascii="Tahoma" w:hAnsi="Tahoma" w:cs="Tahoma"/>
          <w:spacing w:val="3"/>
          <w:sz w:val="20"/>
        </w:rPr>
        <w:t>.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8.1.2. Поставщику: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pacing w:val="3"/>
          <w:sz w:val="20"/>
        </w:rPr>
        <w:t>_______________________.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 w:rsidRPr="00C36C93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C36C93">
          <w:rPr>
            <w:rFonts w:ascii="Tahoma" w:hAnsi="Tahoma" w:cs="Tahoma"/>
            <w:color w:val="000000"/>
            <w:sz w:val="20"/>
          </w:rPr>
          <w:t>@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esplus</w:t>
        </w:r>
        <w:proofErr w:type="spellEnd"/>
        <w:r w:rsidRPr="00C36C93">
          <w:rPr>
            <w:rFonts w:ascii="Tahoma" w:hAnsi="Tahoma" w:cs="Tahoma"/>
            <w:color w:val="000000"/>
            <w:sz w:val="20"/>
          </w:rPr>
          <w:t>.</w:t>
        </w:r>
        <w:r w:rsidRPr="00C36C93">
          <w:rPr>
            <w:rFonts w:ascii="Tahoma" w:hAnsi="Tahoma" w:cs="Tahoma"/>
            <w:color w:val="000000"/>
            <w:sz w:val="20"/>
            <w:lang w:val="en-US"/>
          </w:rPr>
          <w:t>ru</w:t>
        </w:r>
      </w:hyperlink>
      <w:r w:rsidRPr="00C36C93">
        <w:rPr>
          <w:rFonts w:ascii="Tahoma" w:hAnsi="Tahoma" w:cs="Tahoma"/>
          <w:sz w:val="20"/>
        </w:rPr>
        <w:t>;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C36C93">
        <w:rPr>
          <w:rFonts w:ascii="Tahoma" w:hAnsi="Tahoma" w:cs="Tahoma"/>
          <w:sz w:val="20"/>
        </w:rPr>
        <w:t xml:space="preserve">.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B77996">
      <w:pPr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B77996">
      <w:pPr>
        <w:pStyle w:val="ConsPlusNormal"/>
        <w:numPr>
          <w:ilvl w:val="2"/>
          <w:numId w:val="13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C36C93" w:rsidRDefault="00840EA8" w:rsidP="00B77996">
      <w:pPr>
        <w:pStyle w:val="ConsPlusNormal"/>
        <w:numPr>
          <w:ilvl w:val="1"/>
          <w:numId w:val="13"/>
        </w:numPr>
        <w:ind w:left="0" w:right="34" w:firstLine="0"/>
        <w:jc w:val="both"/>
        <w:rPr>
          <w:i w:val="0"/>
          <w:color w:val="000000"/>
        </w:rPr>
      </w:pPr>
      <w:r w:rsidRPr="00C36C9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C36C93">
          <w:rPr>
            <w:rStyle w:val="a5"/>
            <w:rFonts w:cs="Tahoma"/>
            <w:i w:val="0"/>
          </w:rPr>
          <w:t>http://zakupki.tplusgroup.ru/terms</w:t>
        </w:r>
      </w:hyperlink>
      <w:r w:rsidRPr="00C36C9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36C93">
        <w:rPr>
          <w:i w:val="0"/>
          <w:color w:val="000000"/>
        </w:rPr>
        <w:t>.</w:t>
      </w:r>
    </w:p>
    <w:p w:rsidR="00840EA8" w:rsidRPr="00C36C93" w:rsidRDefault="00840EA8" w:rsidP="00B77996">
      <w:pPr>
        <w:pStyle w:val="a3"/>
        <w:numPr>
          <w:ilvl w:val="1"/>
          <w:numId w:val="13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840EA8" w:rsidP="00B77996">
      <w:pPr>
        <w:pStyle w:val="a3"/>
        <w:numPr>
          <w:ilvl w:val="2"/>
          <w:numId w:val="13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</w:t>
      </w:r>
      <w:r w:rsidRPr="00C36C93">
        <w:rPr>
          <w:rFonts w:ascii="Tahoma" w:hAnsi="Tahoma" w:cs="Tahoma"/>
          <w:sz w:val="20"/>
        </w:rPr>
        <w:lastRenderedPageBreak/>
        <w:t xml:space="preserve">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C36C93">
        <w:rPr>
          <w:rFonts w:ascii="Tahoma" w:hAnsi="Tahoma" w:cs="Tahoma"/>
          <w:sz w:val="20"/>
        </w:rPr>
        <w:t>pdf</w:t>
      </w:r>
      <w:proofErr w:type="spellEnd"/>
      <w:r w:rsidRPr="00C36C93">
        <w:rPr>
          <w:rFonts w:ascii="Tahoma" w:hAnsi="Tahoma" w:cs="Tahoma"/>
          <w:sz w:val="20"/>
        </w:rPr>
        <w:t xml:space="preserve"> (</w:t>
      </w:r>
      <w:proofErr w:type="spellStart"/>
      <w:r w:rsidRPr="00C36C93">
        <w:rPr>
          <w:rFonts w:ascii="Tahoma" w:hAnsi="Tahoma" w:cs="Tahoma"/>
          <w:sz w:val="20"/>
        </w:rPr>
        <w:t>Portable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Document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Format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doc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Word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xls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Excel</w:t>
      </w:r>
      <w:proofErr w:type="spellEnd"/>
      <w:r w:rsidRPr="00C36C93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B77996">
      <w:pPr>
        <w:pStyle w:val="a3"/>
        <w:numPr>
          <w:ilvl w:val="2"/>
          <w:numId w:val="13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B77996">
      <w:pPr>
        <w:pStyle w:val="a3"/>
        <w:numPr>
          <w:ilvl w:val="2"/>
          <w:numId w:val="13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r w:rsidRPr="00C36C93">
        <w:rPr>
          <w:rFonts w:ascii="Tahoma" w:hAnsi="Tahoma" w:cs="Tahoma"/>
          <w:sz w:val="20"/>
          <w:szCs w:val="20"/>
        </w:rPr>
        <w:t>=&lt;Дата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Покупатель, за исключением случаев предусмотренных п</w:t>
      </w:r>
      <w:r w:rsidR="00767C84">
        <w:rPr>
          <w:rFonts w:ascii="Tahoma" w:hAnsi="Tahoma" w:cs="Tahoma"/>
          <w:sz w:val="20"/>
        </w:rPr>
        <w:t xml:space="preserve">. </w:t>
      </w:r>
      <w:proofErr w:type="gramStart"/>
      <w:r w:rsidRPr="00C36C93">
        <w:rPr>
          <w:rFonts w:ascii="Tahoma" w:hAnsi="Tahoma" w:cs="Tahoma"/>
          <w:sz w:val="20"/>
        </w:rPr>
        <w:t>9.6.6.-</w:t>
      </w:r>
      <w:proofErr w:type="gramEnd"/>
      <w:r w:rsidR="00767C84">
        <w:rPr>
          <w:rFonts w:ascii="Tahoma" w:hAnsi="Tahoma" w:cs="Tahoma"/>
          <w:sz w:val="20"/>
        </w:rPr>
        <w:t xml:space="preserve"> </w:t>
      </w:r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B77996">
      <w:pPr>
        <w:pStyle w:val="a3"/>
        <w:widowControl w:val="0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bookmarkEnd w:id="5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B77996">
      <w:pPr>
        <w:pStyle w:val="a3"/>
        <w:widowControl w:val="0"/>
        <w:numPr>
          <w:ilvl w:val="0"/>
          <w:numId w:val="13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D13D76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13D7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36C93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</w:t>
      </w:r>
      <w:r w:rsidR="00767C84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2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767C84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767C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767C84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767C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____________________С.В. Болодурин С.В.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м.п.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</w:t>
      </w:r>
      <w:r w:rsidR="00767C84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767C84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767C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6D1" w:rsidRDefault="008D76D1">
      <w:pPr>
        <w:spacing w:after="0" w:line="240" w:lineRule="auto"/>
      </w:pPr>
      <w:r>
        <w:separator/>
      </w:r>
    </w:p>
  </w:endnote>
  <w:endnote w:type="continuationSeparator" w:id="0">
    <w:p w:rsidR="008D76D1" w:rsidRDefault="008D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72B" w:rsidRDefault="007E072B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072B" w:rsidRDefault="007E072B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6D1" w:rsidRDefault="008D76D1">
      <w:pPr>
        <w:spacing w:after="0" w:line="240" w:lineRule="auto"/>
      </w:pPr>
      <w:r>
        <w:separator/>
      </w:r>
    </w:p>
  </w:footnote>
  <w:footnote w:type="continuationSeparator" w:id="0">
    <w:p w:rsidR="008D76D1" w:rsidRDefault="008D7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72B" w:rsidRPr="0059037F" w:rsidRDefault="007E072B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77BE"/>
    <w:multiLevelType w:val="multilevel"/>
    <w:tmpl w:val="F3580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637AA4"/>
    <w:multiLevelType w:val="multilevel"/>
    <w:tmpl w:val="8C2AB8EC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b w:val="0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A52E32"/>
    <w:multiLevelType w:val="hybridMultilevel"/>
    <w:tmpl w:val="DB726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A39B3"/>
    <w:multiLevelType w:val="multilevel"/>
    <w:tmpl w:val="23C818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6214ABB"/>
    <w:multiLevelType w:val="hybridMultilevel"/>
    <w:tmpl w:val="33EEB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B0D20"/>
    <w:multiLevelType w:val="multilevel"/>
    <w:tmpl w:val="663EB20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1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12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22E20"/>
    <w:rsid w:val="00123A62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F19FA"/>
    <w:rsid w:val="001F3C44"/>
    <w:rsid w:val="001F5142"/>
    <w:rsid w:val="002033BE"/>
    <w:rsid w:val="00206F86"/>
    <w:rsid w:val="0021144B"/>
    <w:rsid w:val="00213B02"/>
    <w:rsid w:val="00213C70"/>
    <w:rsid w:val="002244DC"/>
    <w:rsid w:val="00224A2D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1C86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5AD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71C5"/>
    <w:rsid w:val="00472E13"/>
    <w:rsid w:val="00474CD9"/>
    <w:rsid w:val="00480915"/>
    <w:rsid w:val="004812B0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411B"/>
    <w:rsid w:val="00547543"/>
    <w:rsid w:val="00554E90"/>
    <w:rsid w:val="00556FF7"/>
    <w:rsid w:val="00562A37"/>
    <w:rsid w:val="00562DF6"/>
    <w:rsid w:val="00564352"/>
    <w:rsid w:val="00566691"/>
    <w:rsid w:val="005668B8"/>
    <w:rsid w:val="00567701"/>
    <w:rsid w:val="00570313"/>
    <w:rsid w:val="0057313F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C279C"/>
    <w:rsid w:val="005E0CAE"/>
    <w:rsid w:val="005E1654"/>
    <w:rsid w:val="005E1C16"/>
    <w:rsid w:val="005E214C"/>
    <w:rsid w:val="005E4B51"/>
    <w:rsid w:val="005E59FF"/>
    <w:rsid w:val="005E6E2E"/>
    <w:rsid w:val="005E7DFC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504C0"/>
    <w:rsid w:val="00753554"/>
    <w:rsid w:val="0075359D"/>
    <w:rsid w:val="00760AD5"/>
    <w:rsid w:val="007634BF"/>
    <w:rsid w:val="00767C84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E072B"/>
    <w:rsid w:val="007F1FEC"/>
    <w:rsid w:val="007F3270"/>
    <w:rsid w:val="0080126D"/>
    <w:rsid w:val="00802F1B"/>
    <w:rsid w:val="00803B59"/>
    <w:rsid w:val="008158BF"/>
    <w:rsid w:val="008222A1"/>
    <w:rsid w:val="00831D14"/>
    <w:rsid w:val="00833C87"/>
    <w:rsid w:val="00834ADD"/>
    <w:rsid w:val="008355D8"/>
    <w:rsid w:val="00840EA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6D1"/>
    <w:rsid w:val="008D7813"/>
    <w:rsid w:val="008E5153"/>
    <w:rsid w:val="008F034D"/>
    <w:rsid w:val="008F37B8"/>
    <w:rsid w:val="008F7B98"/>
    <w:rsid w:val="00906A60"/>
    <w:rsid w:val="00910151"/>
    <w:rsid w:val="00910CC0"/>
    <w:rsid w:val="00911BF8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05A0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9F71F7"/>
    <w:rsid w:val="00A0565D"/>
    <w:rsid w:val="00A11018"/>
    <w:rsid w:val="00A111AB"/>
    <w:rsid w:val="00A151E4"/>
    <w:rsid w:val="00A226B6"/>
    <w:rsid w:val="00A271A6"/>
    <w:rsid w:val="00A32EDB"/>
    <w:rsid w:val="00A406E8"/>
    <w:rsid w:val="00A413DC"/>
    <w:rsid w:val="00A436A4"/>
    <w:rsid w:val="00A45349"/>
    <w:rsid w:val="00A50CD2"/>
    <w:rsid w:val="00A55619"/>
    <w:rsid w:val="00A56DA0"/>
    <w:rsid w:val="00A6403A"/>
    <w:rsid w:val="00A6526A"/>
    <w:rsid w:val="00A66AD8"/>
    <w:rsid w:val="00A7465B"/>
    <w:rsid w:val="00A759C3"/>
    <w:rsid w:val="00A82178"/>
    <w:rsid w:val="00A84D93"/>
    <w:rsid w:val="00A87914"/>
    <w:rsid w:val="00A90557"/>
    <w:rsid w:val="00A92314"/>
    <w:rsid w:val="00A93477"/>
    <w:rsid w:val="00AA1366"/>
    <w:rsid w:val="00AA2443"/>
    <w:rsid w:val="00AA2E21"/>
    <w:rsid w:val="00AA4CF9"/>
    <w:rsid w:val="00AA4EC2"/>
    <w:rsid w:val="00AB1D57"/>
    <w:rsid w:val="00AB4CD7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13A4B"/>
    <w:rsid w:val="00B144CC"/>
    <w:rsid w:val="00B15600"/>
    <w:rsid w:val="00B16549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77996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29E5"/>
    <w:rsid w:val="00BE3639"/>
    <w:rsid w:val="00BE6376"/>
    <w:rsid w:val="00BF656F"/>
    <w:rsid w:val="00C023C8"/>
    <w:rsid w:val="00C03FA2"/>
    <w:rsid w:val="00C0754F"/>
    <w:rsid w:val="00C11D87"/>
    <w:rsid w:val="00C124B7"/>
    <w:rsid w:val="00C211F5"/>
    <w:rsid w:val="00C25547"/>
    <w:rsid w:val="00C3157D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8755D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21CA"/>
    <w:rsid w:val="00D13D76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348D"/>
    <w:rsid w:val="00DF588A"/>
    <w:rsid w:val="00E0717C"/>
    <w:rsid w:val="00E10418"/>
    <w:rsid w:val="00E1052C"/>
    <w:rsid w:val="00E11165"/>
    <w:rsid w:val="00E14137"/>
    <w:rsid w:val="00E17064"/>
    <w:rsid w:val="00E2029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010F"/>
    <w:rsid w:val="00E92664"/>
    <w:rsid w:val="00E93879"/>
    <w:rsid w:val="00EA5DC3"/>
    <w:rsid w:val="00EB2D77"/>
    <w:rsid w:val="00EB3A96"/>
    <w:rsid w:val="00EC1C50"/>
    <w:rsid w:val="00EC2A50"/>
    <w:rsid w:val="00EC6EB3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328D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0E750-C2EA-459C-846B-F58850BA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90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9055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5053</Words>
  <Characters>28803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23</cp:revision>
  <dcterms:created xsi:type="dcterms:W3CDTF">2023-09-26T13:20:00Z</dcterms:created>
  <dcterms:modified xsi:type="dcterms:W3CDTF">2024-01-11T10:29:00Z</dcterms:modified>
</cp:coreProperties>
</file>